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 xml:space="preserve">2019 年 </w:t>
      </w:r>
      <w:r>
        <w:rPr>
          <w:rFonts w:hint="eastAsia" w:ascii="黑体" w:eastAsia="黑体"/>
          <w:sz w:val="36"/>
          <w:szCs w:val="36"/>
          <w:lang w:val="en-US" w:eastAsia="zh-CN"/>
        </w:rPr>
        <w:t>9</w:t>
      </w:r>
      <w:bookmarkStart w:id="0" w:name="_GoBack"/>
      <w:bookmarkEnd w:id="0"/>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泰鼎（天津）环保科技有限公司，统一社会信息代码号：91120116770641648G，法定代表人：庄清旗，坐落于天津经济技术开发区化学工业区，暨现代产业区内华山路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rPr>
        <w:t>2019年第二季度监测报告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Layout w:type="fixed"/>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Layout w:type="fixed"/>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7.53</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0.0</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32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废气</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3#废气装置出口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经洗涤塔排放15m排气筒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硫酸雾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大气污染物综合排放标准GB16297-1996表2二级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氮氧化物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臭气浓度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氯化氢</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r>
      <w:tr>
        <w:tblPrEx>
          <w:tblLayout w:type="fixed"/>
          <w:tblCellMar>
            <w:top w:w="0" w:type="dxa"/>
            <w:left w:w="108" w:type="dxa"/>
            <w:bottom w:w="0" w:type="dxa"/>
            <w:right w:w="108" w:type="dxa"/>
          </w:tblCellMar>
        </w:tblPrEx>
        <w:trPr>
          <w:trHeight w:val="11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Layout w:type="fixed"/>
          <w:tblCellMar>
            <w:top w:w="0" w:type="dxa"/>
            <w:left w:w="108" w:type="dxa"/>
            <w:bottom w:w="0" w:type="dxa"/>
            <w:right w:w="108" w:type="dxa"/>
          </w:tblCellMar>
        </w:tblPrEx>
        <w:trPr>
          <w:trHeight w:val="10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经积尘装置排放16m排气筒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Layout w:type="fixed"/>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54.2</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52.3</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ascii="黑体" w:eastAsia="黑体"/>
          <w:sz w:val="28"/>
          <w:szCs w:val="28"/>
        </w:rPr>
      </w:pPr>
      <w:r>
        <w:rPr>
          <w:rFonts w:hint="eastAsia" w:ascii="黑体" w:eastAsia="黑体"/>
          <w:sz w:val="28"/>
          <w:szCs w:val="28"/>
        </w:rPr>
        <w:t>危废转移情况</w:t>
      </w:r>
    </w:p>
    <w:p>
      <w:pPr>
        <w:widowControl/>
        <w:jc w:val="left"/>
        <w:rPr>
          <w:rFonts w:hint="eastAsia"/>
        </w:rPr>
      </w:pPr>
      <w:r>
        <w:drawing>
          <wp:inline distT="0" distB="0" distL="114300" distR="114300">
            <wp:extent cx="5269230" cy="10604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1060450"/>
                    </a:xfrm>
                    <a:prstGeom prst="rect">
                      <a:avLst/>
                    </a:prstGeom>
                    <a:noFill/>
                    <a:ln>
                      <a:noFill/>
                    </a:ln>
                  </pic:spPr>
                </pic:pic>
              </a:graphicData>
            </a:graphic>
          </wp:inline>
        </w:drawing>
      </w:r>
    </w:p>
    <w:p>
      <w:pPr>
        <w:widowControl/>
        <w:jc w:val="left"/>
      </w:pPr>
    </w:p>
    <w:p>
      <w:pPr>
        <w:rPr>
          <w:rFonts w:ascii="黑体" w:eastAsia="黑体"/>
          <w:sz w:val="28"/>
          <w:szCs w:val="28"/>
        </w:rPr>
      </w:pP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13630B9B"/>
    <w:rsid w:val="16C0475F"/>
    <w:rsid w:val="17000D05"/>
    <w:rsid w:val="1C8A7EC0"/>
    <w:rsid w:val="26761C45"/>
    <w:rsid w:val="28697E92"/>
    <w:rsid w:val="36CE4F1C"/>
    <w:rsid w:val="40483C44"/>
    <w:rsid w:val="45A55D71"/>
    <w:rsid w:val="513941B6"/>
    <w:rsid w:val="56C61316"/>
    <w:rsid w:val="608C3EF8"/>
    <w:rsid w:val="71715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148</TotalTime>
  <ScaleCrop>false</ScaleCrop>
  <LinksUpToDate>false</LinksUpToDate>
  <CharactersWithSpaces>4847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2019-09-26T05:54:03Z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